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F82" w:rsidRDefault="00E04F82" w:rsidP="00E04F82">
      <w:pPr>
        <w:pStyle w:val="Titre"/>
      </w:pPr>
      <w:r>
        <w:t>Données nécessaires aux outils</w:t>
      </w:r>
    </w:p>
    <w:p w:rsidR="00B83BD9" w:rsidRDefault="00E04F82" w:rsidP="00E04F82">
      <w:pPr>
        <w:pStyle w:val="Titre1"/>
      </w:pPr>
      <w:r>
        <w:t>Données utilisées par parapluie</w:t>
      </w:r>
    </w:p>
    <w:p w:rsidR="00E04F82" w:rsidRPr="00E04F82" w:rsidRDefault="00E04F82" w:rsidP="00E04F82">
      <w:r>
        <w:t>Rappel</w:t>
      </w:r>
      <w:r w:rsidR="004B6477">
        <w:t> :</w:t>
      </w:r>
      <w:r>
        <w:t xml:space="preserve"> parapluie peut gérer jusqu’à 3 ouvrages différents connectés (2 </w:t>
      </w:r>
      <w:proofErr w:type="gramStart"/>
      <w:r>
        <w:t>amont</w:t>
      </w:r>
      <w:proofErr w:type="gramEnd"/>
      <w:r>
        <w:t xml:space="preserve"> et 1 aval)</w:t>
      </w:r>
    </w:p>
    <w:p w:rsidR="00E04F82" w:rsidRDefault="00E04F82" w:rsidP="00E04F82">
      <w:pPr>
        <w:pStyle w:val="Titre2"/>
      </w:pPr>
      <w:r>
        <w:t>Données décrivant les surfaces raccordées</w:t>
      </w:r>
    </w:p>
    <w:p w:rsidR="00E04F82" w:rsidRDefault="004B6477">
      <w:r w:rsidRPr="004B6477">
        <w:rPr>
          <w:noProof/>
        </w:rPr>
        <w:drawing>
          <wp:inline distT="0" distB="0" distL="0" distR="0">
            <wp:extent cx="5760720" cy="225628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256282"/>
                    </a:xfrm>
                    <a:prstGeom prst="rect">
                      <a:avLst/>
                    </a:prstGeom>
                    <a:noFill/>
                    <a:ln>
                      <a:noFill/>
                    </a:ln>
                  </pic:spPr>
                </pic:pic>
              </a:graphicData>
            </a:graphic>
          </wp:inline>
        </w:drawing>
      </w:r>
    </w:p>
    <w:p w:rsidR="00E04F82" w:rsidRDefault="00E04F82" w:rsidP="00E04F82">
      <w:pPr>
        <w:pStyle w:val="Titre2"/>
      </w:pPr>
      <w:r>
        <w:t>Données décrivant la géométrie des ouvrages</w:t>
      </w:r>
    </w:p>
    <w:p w:rsidR="00E04F82" w:rsidRDefault="00E04F82">
      <w:r w:rsidRPr="00E04F82">
        <w:rPr>
          <w:noProof/>
        </w:rPr>
        <w:drawing>
          <wp:inline distT="0" distB="0" distL="0" distR="0">
            <wp:extent cx="6176625" cy="21564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7770" cy="2160301"/>
                    </a:xfrm>
                    <a:prstGeom prst="rect">
                      <a:avLst/>
                    </a:prstGeom>
                    <a:noFill/>
                    <a:ln>
                      <a:noFill/>
                    </a:ln>
                  </pic:spPr>
                </pic:pic>
              </a:graphicData>
            </a:graphic>
          </wp:inline>
        </w:drawing>
      </w:r>
    </w:p>
    <w:p w:rsidR="004B6477" w:rsidRDefault="004B6477">
      <w:pPr>
        <w:rPr>
          <w:rFonts w:asciiTheme="majorHAnsi" w:eastAsiaTheme="majorEastAsia" w:hAnsiTheme="majorHAnsi" w:cstheme="majorBidi"/>
          <w:color w:val="2F5496" w:themeColor="accent1" w:themeShade="BF"/>
          <w:sz w:val="32"/>
          <w:szCs w:val="32"/>
        </w:rPr>
      </w:pPr>
      <w:r>
        <w:br w:type="page"/>
      </w:r>
    </w:p>
    <w:p w:rsidR="00E04F82" w:rsidRDefault="00E04F82" w:rsidP="00E04F82">
      <w:pPr>
        <w:pStyle w:val="Titre1"/>
      </w:pPr>
      <w:r>
        <w:lastRenderedPageBreak/>
        <w:t>Données utilisées par URBIS</w:t>
      </w:r>
    </w:p>
    <w:p w:rsidR="004B6477" w:rsidRPr="004B6477" w:rsidRDefault="004B6477" w:rsidP="004B6477">
      <w:r>
        <w:t xml:space="preserve">Rappel : </w:t>
      </w:r>
      <w:proofErr w:type="spellStart"/>
      <w:r>
        <w:t>Urbis</w:t>
      </w:r>
      <w:proofErr w:type="spellEnd"/>
      <w:r>
        <w:t xml:space="preserve"> peut gérer un nombre quelconque d’ouvrages connectés entre eux : la façon pratique dont les liens sont gérés n’est pas décrite ici</w:t>
      </w:r>
    </w:p>
    <w:p w:rsidR="004B6477" w:rsidRDefault="004B6477" w:rsidP="004B6477"/>
    <w:p w:rsidR="004B6477" w:rsidRDefault="004B6477" w:rsidP="004B6477">
      <w:r w:rsidRPr="004B6477">
        <w:rPr>
          <w:noProof/>
        </w:rPr>
        <w:drawing>
          <wp:inline distT="0" distB="0" distL="0" distR="0">
            <wp:extent cx="5760720" cy="298087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980876"/>
                    </a:xfrm>
                    <a:prstGeom prst="rect">
                      <a:avLst/>
                    </a:prstGeom>
                    <a:noFill/>
                    <a:ln>
                      <a:noFill/>
                    </a:ln>
                  </pic:spPr>
                </pic:pic>
              </a:graphicData>
            </a:graphic>
          </wp:inline>
        </w:drawing>
      </w:r>
    </w:p>
    <w:p w:rsidR="004B6477" w:rsidRDefault="004B6477">
      <w:pPr>
        <w:rPr>
          <w:rFonts w:asciiTheme="majorHAnsi" w:eastAsiaTheme="majorEastAsia" w:hAnsiTheme="majorHAnsi" w:cstheme="majorBidi"/>
          <w:color w:val="2F5496" w:themeColor="accent1" w:themeShade="BF"/>
          <w:sz w:val="32"/>
          <w:szCs w:val="32"/>
        </w:rPr>
      </w:pPr>
      <w:r>
        <w:br w:type="page"/>
      </w:r>
    </w:p>
    <w:p w:rsidR="004B6477" w:rsidRDefault="004B6477" w:rsidP="004B6477">
      <w:pPr>
        <w:pStyle w:val="Titre1"/>
      </w:pPr>
      <w:r>
        <w:lastRenderedPageBreak/>
        <w:t>Exemple de correspondance entre modèles</w:t>
      </w:r>
    </w:p>
    <w:p w:rsidR="004B6477" w:rsidRDefault="004B6477" w:rsidP="004B6477">
      <w:pPr>
        <w:pStyle w:val="Titre2"/>
      </w:pPr>
      <w:r>
        <w:t>Lien entre capacité infiltration dans Parapluie et paramètres du modèle de Green et Ampt d’URBIS</w:t>
      </w:r>
    </w:p>
    <w:p w:rsidR="004B6477" w:rsidRDefault="004B6477" w:rsidP="004B6477"/>
    <w:p w:rsidR="004B6477" w:rsidRPr="00F44030" w:rsidRDefault="004B6477" w:rsidP="004B6477">
      <w:r>
        <w:t>Voici les ordres de grandeur des valeurs de la capacité d’infiltration prises en compte par parapluie en fonction du type de sol pour les ouvrages infiltrants.</w:t>
      </w:r>
    </w:p>
    <w:p w:rsidR="004B6477" w:rsidRDefault="004B6477" w:rsidP="004B6477">
      <w:r>
        <w:rPr>
          <w:noProof/>
          <w:lang w:eastAsia="fr-FR"/>
        </w:rPr>
        <w:drawing>
          <wp:inline distT="0" distB="0" distL="0" distR="0" wp14:anchorId="5622D7F7" wp14:editId="11C41113">
            <wp:extent cx="5760720" cy="254063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540635"/>
                    </a:xfrm>
                    <a:prstGeom prst="rect">
                      <a:avLst/>
                    </a:prstGeom>
                  </pic:spPr>
                </pic:pic>
              </a:graphicData>
            </a:graphic>
          </wp:inline>
        </w:drawing>
      </w:r>
    </w:p>
    <w:p w:rsidR="004B6477" w:rsidRDefault="004B6477" w:rsidP="004B6477">
      <w:r>
        <w:t>Il faudrait faire un tableau identique</w:t>
      </w:r>
      <w:r w:rsidRPr="004D74BC">
        <w:t xml:space="preserve"> </w:t>
      </w:r>
      <w:r>
        <w:t xml:space="preserve">pour les ouvrages infiltrants de type « bassin ouvert » ou « bassin fermé » d’URBIS, avec, pour chaque type de sol les paramètres du modèle de Green et Ampt, c.a.d. remplir le tableau suivant (également joint en </w:t>
      </w:r>
      <w:proofErr w:type="spellStart"/>
      <w:r>
        <w:t>excel</w:t>
      </w:r>
      <w:proofErr w:type="spellEnd"/>
      <w:r>
        <w:t>)</w:t>
      </w:r>
    </w:p>
    <w:p w:rsidR="004B6477" w:rsidRDefault="004B6477" w:rsidP="004B6477">
      <w:r w:rsidRPr="004D74BC">
        <w:rPr>
          <w:noProof/>
        </w:rPr>
        <w:drawing>
          <wp:inline distT="0" distB="0" distL="0" distR="0" wp14:anchorId="29CFC06C" wp14:editId="2215C3C1">
            <wp:extent cx="5760720" cy="179659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796598"/>
                    </a:xfrm>
                    <a:prstGeom prst="rect">
                      <a:avLst/>
                    </a:prstGeom>
                    <a:noFill/>
                    <a:ln>
                      <a:noFill/>
                    </a:ln>
                  </pic:spPr>
                </pic:pic>
              </a:graphicData>
            </a:graphic>
          </wp:inline>
        </w:drawing>
      </w:r>
    </w:p>
    <w:p w:rsidR="004B6477" w:rsidRDefault="004B6477" w:rsidP="004B6477">
      <w:r>
        <w:t xml:space="preserve">Les valeurs actuellement transmises par Parapluie à </w:t>
      </w:r>
      <w:proofErr w:type="spellStart"/>
      <w:r>
        <w:t>Urbis</w:t>
      </w:r>
      <w:proofErr w:type="spellEnd"/>
      <w:r>
        <w:t xml:space="preserve"> sont celles indiqués dans le tableau ; elles ne sont pas satisfaisantes car elles ne permettent pas de profiter des avantages du modèle de Green et Ampt (saturation progressive du sol).</w:t>
      </w:r>
    </w:p>
    <w:p w:rsidR="004B6477" w:rsidRDefault="004B6477" w:rsidP="004B6477">
      <w:r w:rsidRPr="004D74BC">
        <w:rPr>
          <w:u w:val="single"/>
        </w:rPr>
        <w:t>Nota</w:t>
      </w:r>
      <w:r>
        <w:t> : Un tableau identique sera à faire pour les surfaces perméables et pour les toitures végétalisées.</w:t>
      </w:r>
    </w:p>
    <w:p w:rsidR="004B6477" w:rsidRPr="004B6477" w:rsidRDefault="004B6477" w:rsidP="004B6477"/>
    <w:p w:rsidR="004B6477" w:rsidRDefault="004B6477" w:rsidP="004B6477"/>
    <w:p w:rsidR="006D297A" w:rsidRDefault="006D297A" w:rsidP="006D297A">
      <w:pPr>
        <w:pStyle w:val="Titre1"/>
      </w:pPr>
      <w:r>
        <w:lastRenderedPageBreak/>
        <w:t xml:space="preserve">Données utilisées par </w:t>
      </w:r>
      <w:r>
        <w:t>FAVEUR (en entrée et en sortie)</w:t>
      </w:r>
    </w:p>
    <w:p w:rsidR="006D297A" w:rsidRDefault="006D297A" w:rsidP="006D297A">
      <w:pPr>
        <w:jc w:val="both"/>
      </w:pPr>
      <w:r>
        <w:tab/>
        <w:t>L’outil FAVEUR s’est voulu très simple et concerne uniquement les toitures végétalisées extensives sans régulation de débit et sans stockage dédié. Les données utilisées sont donc limitées</w:t>
      </w:r>
      <w:r w:rsidR="00373E38">
        <w:t xml:space="preserve"> (cf. la notice qui est aussi très simple et courte)</w:t>
      </w:r>
      <w:r>
        <w:t>.</w:t>
      </w:r>
    </w:p>
    <w:p w:rsidR="006D297A" w:rsidRDefault="006D297A" w:rsidP="006D297A">
      <w:pPr>
        <w:jc w:val="both"/>
        <w:rPr>
          <w:i/>
        </w:rPr>
      </w:pPr>
    </w:p>
    <w:p w:rsidR="006D297A" w:rsidRDefault="006D297A" w:rsidP="006D297A">
      <w:pPr>
        <w:jc w:val="both"/>
      </w:pPr>
      <w:r w:rsidRPr="006D297A">
        <w:rPr>
          <w:i/>
        </w:rPr>
        <w:t>En entrée</w:t>
      </w:r>
      <w:r>
        <w:t> : 4 caractéristiques du projet</w:t>
      </w:r>
    </w:p>
    <w:p w:rsidR="006D297A" w:rsidRDefault="006D297A" w:rsidP="006D297A">
      <w:pPr>
        <w:jc w:val="both"/>
      </w:pPr>
      <w:r>
        <w:tab/>
        <w:t xml:space="preserve">Le climat : à ce jour, choix entre le climat océanique dégradé (typique de la région </w:t>
      </w:r>
      <w:proofErr w:type="spellStart"/>
      <w:r>
        <w:t>IdF</w:t>
      </w:r>
      <w:proofErr w:type="spellEnd"/>
      <w:r>
        <w:t>), et le climat méditerranéen</w:t>
      </w:r>
    </w:p>
    <w:p w:rsidR="006D297A" w:rsidRDefault="006D297A" w:rsidP="006D297A">
      <w:pPr>
        <w:jc w:val="both"/>
      </w:pPr>
      <w:r>
        <w:tab/>
        <w:t>Le type de végétation : soit Sedum, soit Graminée</w:t>
      </w:r>
    </w:p>
    <w:p w:rsidR="006D297A" w:rsidRDefault="006D297A" w:rsidP="006D297A">
      <w:pPr>
        <w:jc w:val="both"/>
      </w:pPr>
      <w:r>
        <w:tab/>
        <w:t>L’épaisseur du substrat : à saisir, entre 4 et 30cm</w:t>
      </w:r>
    </w:p>
    <w:p w:rsidR="006D297A" w:rsidRDefault="006D297A" w:rsidP="006D297A">
      <w:pPr>
        <w:jc w:val="both"/>
      </w:pPr>
      <w:r>
        <w:tab/>
        <w:t>La capacité maximale en eau (CME) du substrat : s’apparente rigoureusement à une capacité au champs (quantité d’eau maximale retenue par capillarité, avant que le drainage gravitaire se déclenche). Cette CME est donnée par le fournisseur du substrat. Par défaut, il est proposé une valeur de 35% dans l’outil.</w:t>
      </w:r>
    </w:p>
    <w:p w:rsidR="006D297A" w:rsidRDefault="006D297A" w:rsidP="006D297A">
      <w:pPr>
        <w:jc w:val="both"/>
      </w:pPr>
    </w:p>
    <w:p w:rsidR="006D297A" w:rsidRDefault="006D297A" w:rsidP="006D297A">
      <w:pPr>
        <w:jc w:val="both"/>
      </w:pPr>
      <w:r w:rsidRPr="006D297A">
        <w:rPr>
          <w:i/>
        </w:rPr>
        <w:t>En sortie</w:t>
      </w:r>
      <w:r>
        <w:t> : deux critères de rétention du ruissellement</w:t>
      </w:r>
      <w:r w:rsidR="00373E38">
        <w:t xml:space="preserve"> pour le projet de toiture considéré</w:t>
      </w:r>
      <w:r>
        <w:t xml:space="preserve">, exprimés </w:t>
      </w:r>
      <w:r w:rsidR="00373E38">
        <w:t>à l’échelle de l’année et de l’événement pluvieux.</w:t>
      </w:r>
    </w:p>
    <w:p w:rsidR="00373E38" w:rsidRDefault="00373E38" w:rsidP="006D297A">
      <w:pPr>
        <w:jc w:val="both"/>
      </w:pPr>
      <w:r>
        <w:tab/>
        <w:t>Le coefficient de ruissellement (sans unité) : rapport entre le ruissellement dans la gouttière et la pluie</w:t>
      </w:r>
    </w:p>
    <w:p w:rsidR="00373E38" w:rsidRDefault="00373E38" w:rsidP="006D297A">
      <w:pPr>
        <w:jc w:val="both"/>
      </w:pPr>
      <w:r>
        <w:tab/>
        <w:t>L’abattement du ruissellement (en mm) : différence entre la pluie et le ruissellement dans la gouttière</w:t>
      </w:r>
    </w:p>
    <w:p w:rsidR="00373E38" w:rsidRDefault="00373E38" w:rsidP="006D297A">
      <w:pPr>
        <w:jc w:val="both"/>
      </w:pPr>
      <w:r>
        <w:tab/>
        <w:t>A l’échelle de l’année : valeurs moyenne, minimum et maximum des 2 critères</w:t>
      </w:r>
    </w:p>
    <w:p w:rsidR="00373E38" w:rsidRDefault="00373E38" w:rsidP="006D297A">
      <w:pPr>
        <w:jc w:val="both"/>
      </w:pPr>
      <w:r>
        <w:tab/>
        <w:t xml:space="preserve">A l’échelle de l’événement pluvieux : </w:t>
      </w:r>
      <w:r>
        <w:t>valeurs moyenne, minimum et maximum des 2 critères</w:t>
      </w:r>
      <w:r>
        <w:t>. Ces valeurs sont malheureusement sensibles aux choix fait</w:t>
      </w:r>
      <w:r w:rsidR="004A069B">
        <w:t>s</w:t>
      </w:r>
      <w:r>
        <w:t xml:space="preserve"> dans l’identification des événements. La méthode d’identification retenue est classique avec une durée sans pluie de 12h minimum, et seuls les événements avec une pluie &gt; 5mm </w:t>
      </w:r>
      <w:r w:rsidR="004A069B">
        <w:t>sont traités</w:t>
      </w:r>
      <w:bookmarkStart w:id="0" w:name="_GoBack"/>
      <w:bookmarkEnd w:id="0"/>
      <w:r>
        <w:t>. C’est donc plutôt des événements fréquents.</w:t>
      </w:r>
    </w:p>
    <w:p w:rsidR="006D297A" w:rsidRPr="004B6477" w:rsidRDefault="006D297A" w:rsidP="004B6477"/>
    <w:p w:rsidR="00E04F82" w:rsidRDefault="00E04F82"/>
    <w:sectPr w:rsidR="00E04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82"/>
    <w:rsid w:val="00373E38"/>
    <w:rsid w:val="004A069B"/>
    <w:rsid w:val="004B6477"/>
    <w:rsid w:val="006D297A"/>
    <w:rsid w:val="00B83BD9"/>
    <w:rsid w:val="00E04F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A4A77"/>
  <w15:chartTrackingRefBased/>
  <w15:docId w15:val="{569A2404-C5FC-4AB6-A41F-ABC01C63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E04F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04F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4F82"/>
    <w:rPr>
      <w:rFonts w:asciiTheme="majorHAnsi" w:eastAsiaTheme="majorEastAsia" w:hAnsiTheme="majorHAnsi" w:cstheme="majorBidi"/>
      <w:color w:val="2F5496" w:themeColor="accent1" w:themeShade="BF"/>
      <w:sz w:val="32"/>
      <w:szCs w:val="32"/>
    </w:rPr>
  </w:style>
  <w:style w:type="paragraph" w:styleId="Titre">
    <w:name w:val="Title"/>
    <w:basedOn w:val="Normal"/>
    <w:next w:val="Normal"/>
    <w:link w:val="TitreCar"/>
    <w:uiPriority w:val="10"/>
    <w:qFormat/>
    <w:rsid w:val="00E04F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4F82"/>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E04F8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539580">
      <w:bodyDiv w:val="1"/>
      <w:marLeft w:val="0"/>
      <w:marRight w:val="0"/>
      <w:marTop w:val="0"/>
      <w:marBottom w:val="0"/>
      <w:divBdr>
        <w:top w:val="none" w:sz="0" w:space="0" w:color="auto"/>
        <w:left w:val="none" w:sz="0" w:space="0" w:color="auto"/>
        <w:bottom w:val="none" w:sz="0" w:space="0" w:color="auto"/>
        <w:right w:val="none" w:sz="0" w:space="0" w:color="auto"/>
      </w:divBdr>
    </w:div>
    <w:div w:id="141632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467</Words>
  <Characters>2571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Chocat</dc:creator>
  <cp:keywords/>
  <dc:description/>
  <cp:lastModifiedBy> </cp:lastModifiedBy>
  <cp:revision>2</cp:revision>
  <dcterms:created xsi:type="dcterms:W3CDTF">2024-03-11T14:14:00Z</dcterms:created>
  <dcterms:modified xsi:type="dcterms:W3CDTF">2024-03-12T07:56:00Z</dcterms:modified>
</cp:coreProperties>
</file>